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-624840</wp:posOffset>
            </wp:positionV>
            <wp:extent cx="57785" cy="638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741680</wp:posOffset>
            </wp:positionV>
            <wp:extent cx="6993890" cy="5114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1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Qi Dave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HOUSE B5, AVIGNON,1 KUWN CHUI ROAD TUEN MUN, N. T.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HONG KONG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00000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Hello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MOMO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7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296,387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04/15/2032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shares, 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US$0.0001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-2266950</wp:posOffset>
            </wp:positionV>
            <wp:extent cx="29210" cy="2272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7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represents two Class A ordinary shares.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a contingent right to receive, when vested, one Class A ordinary share.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 units were vested on April 15, 2026.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Daqing Qi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04/16/2026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7935" TargetMode="External"/><Relationship Id="rId14" Type="http://schemas.openxmlformats.org/officeDocument/2006/relationships/hyperlink" Target="http://www.sec.gov/cgi-bin/browse-edgar?action=getcompany&amp;CIK=0001610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2026-04-16T05:32:33Z</dcterms:created>
  <dcterms:modified xsi:type="dcterms:W3CDTF">2026-04-16T05:32:33Z</dcterms:modified>
</cp:coreProperties>
</file>