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4-7_3seq1.xml.htm"/>
      <w:bookmarkStart w:id="1" w:name="kstm2687547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Tang 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203, BLOCK A10, JIUXIANQIAO</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ROAD,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Hello Group Inc.</w:t>
              </w:r>
            </w:hyperlink>
            <w:r>
              <w:rPr/>
              <w:t xml:space="preserve"> [ </w:t>
            </w:r>
            <w:r>
              <w:rPr>
                <w:rFonts w:ascii="Times;serif" w:hAnsi="Times;serif"/>
                <w:color w:val="0000FF"/>
                <w:sz w:val="24"/>
                <w:shd w:fill="FFFFFF" w:val="clear"/>
              </w:rPr>
              <w:t>MOMO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4"/>
        <w:gridCol w:w="1965"/>
        <w:gridCol w:w="1170"/>
        <w:gridCol w:w="2656"/>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32,182,233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Gallant Future Holdings Limited</w:t>
            </w:r>
            <w:r>
              <w:rPr>
                <w:rFonts w:ascii="Times;serif" w:hAnsi="Times;serif"/>
                <w:color w:val="008000"/>
                <w:position w:val="7"/>
                <w:sz w:val="16"/>
                <w:sz w:val="20"/>
                <w:shd w:fill="FFFFFF" w:val="clear"/>
              </w:rPr>
              <w:t>(1)</w:t>
            </w:r>
            <w:r>
              <w:rPr/>
              <w:t xml:space="preserve"> </w:t>
            </w:r>
          </w:p>
        </w:tc>
      </w:tr>
      <w:tr>
        <w:trPr/>
        <w:tc>
          <w:tcPr>
            <w:tcW w:w="44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New Heritage Global Limited</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29"/>
        <w:gridCol w:w="1221"/>
        <w:gridCol w:w="1126"/>
        <w:gridCol w:w="1237"/>
        <w:gridCol w:w="1144"/>
        <w:gridCol w:w="1260"/>
        <w:gridCol w:w="1222"/>
        <w:gridCol w:w="136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12/30/2026</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198,262</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03/07/2027</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875,134</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05/02/2028</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597,638</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04/15/2029</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1,008,098</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1,063,432</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1,054,516</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10/10/2033</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0.1404</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10/29/2034</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04/15/2032</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1,525,530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04/08/2034</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1,319,068</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04/07/2035</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996,826</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807,612</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Gallant Future Holdings Limited is wholly beneficially owned by Mr. Tang through a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New Heritage Global Limited is wholly beneficially owned by Mr. Tang through a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 and exercisable as of the date of this form.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1,312,500 options are fully vested and exercisable as of the date of this form. 87,500 options will vest on April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1,048,802 options are fully vested and exercisable as of the date of this form. The rest of the options vest per quarter in five equal installments, starting from April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577,092 options are fully vested and exercisable as of the date of this form. The rest of the options vest per quarter in nine equal installments, starting from April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 fourth of options vest on April 7, 2026, the rest of the options vest per quarter in twelve equal installments, starting from July 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2162" TargetMode="External"/><Relationship Id="rId3" Type="http://schemas.openxmlformats.org/officeDocument/2006/relationships/hyperlink" Target="http://www.sec.gov/cgi-bin/browse-edgar?action=getcompany&amp;CIK=00016106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3877</Characters>
  <CharactersWithSpaces>4486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